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AAB7B2" w14:textId="77777777" w:rsidR="005B4950" w:rsidRPr="00AA7B7D" w:rsidRDefault="005B4950" w:rsidP="005B4950">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7A560BEA" w14:textId="77777777" w:rsidR="005B4950" w:rsidRPr="00AA7B7D" w:rsidRDefault="005B4950" w:rsidP="005B4950">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5214118F" w14:textId="77777777" w:rsidR="005B4950" w:rsidRDefault="005B4950" w:rsidP="005B4950">
      <w:pPr>
        <w:tabs>
          <w:tab w:val="left" w:pos="6237"/>
        </w:tabs>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ab/>
      </w:r>
      <w:r w:rsidRPr="00AA7B7D">
        <w:rPr>
          <w:rFonts w:ascii="Times New Roman" w:eastAsia="Times New Roman" w:hAnsi="Times New Roman" w:cs="Times New Roman"/>
          <w:kern w:val="0"/>
          <w:sz w:val="24"/>
          <w:szCs w:val="20"/>
          <w14:ligatures w14:val="none"/>
        </w:rPr>
        <w:t xml:space="preserve">juhataja käskkirjaga nr </w:t>
      </w:r>
      <w:r w:rsidRPr="00E126EC">
        <w:rPr>
          <w:rFonts w:ascii="Times New Roman" w:eastAsia="Times New Roman" w:hAnsi="Times New Roman" w:cs="Times New Roman"/>
          <w:kern w:val="0"/>
          <w:sz w:val="24"/>
          <w:szCs w:val="20"/>
          <w14:ligatures w14:val="none"/>
        </w:rPr>
        <w:tab/>
      </w:r>
    </w:p>
    <w:p w14:paraId="66F27709" w14:textId="6F39547B" w:rsidR="005B4950" w:rsidRPr="00AA7B7D" w:rsidRDefault="005B4950" w:rsidP="005B4950">
      <w:pPr>
        <w:tabs>
          <w:tab w:val="left" w:pos="6237"/>
        </w:tabs>
        <w:rPr>
          <w:rFonts w:ascii="Times New Roman" w:eastAsia="Times New Roman" w:hAnsi="Times New Roman" w:cs="Times New Roman"/>
          <w:kern w:val="0"/>
          <w:sz w:val="24"/>
          <w:szCs w:val="20"/>
          <w14:ligatures w14:val="none"/>
        </w:rPr>
      </w:pPr>
      <w:r w:rsidRPr="005F6A75">
        <w:rPr>
          <w:rFonts w:ascii="Times New Roman" w:eastAsia="Times New Roman" w:hAnsi="Times New Roman" w:cs="Times New Roman"/>
          <w:kern w:val="0"/>
          <w:sz w:val="24"/>
          <w:szCs w:val="20"/>
          <w14:ligatures w14:val="none"/>
        </w:rPr>
        <w:tab/>
      </w:r>
      <w:r w:rsidR="00162B60" w:rsidRPr="00162B60">
        <w:rPr>
          <w:rFonts w:ascii="Times New Roman" w:eastAsia="Times New Roman" w:hAnsi="Times New Roman" w:cs="Times New Roman"/>
          <w:kern w:val="0"/>
          <w:sz w:val="24"/>
          <w:szCs w:val="20"/>
          <w14:ligatures w14:val="none"/>
        </w:rPr>
        <w:t xml:space="preserve">1-47.3454 </w:t>
      </w:r>
      <w:r>
        <w:rPr>
          <w:rFonts w:ascii="Times New Roman" w:eastAsia="Times New Roman" w:hAnsi="Times New Roman" w:cs="Times New Roman"/>
          <w:kern w:val="0"/>
          <w:sz w:val="24"/>
          <w:szCs w:val="20"/>
          <w14:ligatures w14:val="none"/>
        </w:rPr>
        <w:t>/</w:t>
      </w:r>
      <w:r w:rsidRPr="00AA7B7D">
        <w:rPr>
          <w:rFonts w:ascii="Times New Roman" w:eastAsia="Times New Roman" w:hAnsi="Times New Roman" w:cs="Times New Roman"/>
          <w:kern w:val="0"/>
          <w:sz w:val="24"/>
          <w:szCs w:val="20"/>
          <w14:ligatures w14:val="none"/>
        </w:rPr>
        <w:t>1</w:t>
      </w:r>
    </w:p>
    <w:p w14:paraId="7ECD772C" w14:textId="77777777" w:rsidR="005B4950" w:rsidRPr="00AA7B7D" w:rsidRDefault="005B4950" w:rsidP="005B4950">
      <w:pPr>
        <w:tabs>
          <w:tab w:val="left" w:pos="6237"/>
        </w:tabs>
        <w:rPr>
          <w:rFonts w:ascii="Times New Roman" w:eastAsia="Times New Roman" w:hAnsi="Times New Roman" w:cs="Times New Roman"/>
          <w:kern w:val="0"/>
          <w:sz w:val="24"/>
          <w:szCs w:val="20"/>
          <w14:ligatures w14:val="none"/>
        </w:rPr>
      </w:pPr>
    </w:p>
    <w:p w14:paraId="2B61CA32" w14:textId="77777777" w:rsidR="005B4950" w:rsidRPr="00AA7B7D" w:rsidRDefault="005B4950" w:rsidP="005B4950">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6196B9B4" w14:textId="5977924C" w:rsidR="005B4950" w:rsidRPr="00E126EC" w:rsidRDefault="005B4950" w:rsidP="005B4950">
      <w:pPr>
        <w:spacing w:after="120"/>
        <w:jc w:val="both"/>
        <w:outlineLvl w:val="1"/>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r w:rsidRPr="005B4950">
        <w:rPr>
          <w:rFonts w:ascii="Times New Roman" w:eastAsia="Times New Roman" w:hAnsi="Times New Roman" w:cs="Times New Roman"/>
          <w:b/>
          <w:bCs/>
          <w:iCs/>
          <w:kern w:val="0"/>
          <w:sz w:val="24"/>
          <w:szCs w:val="24"/>
          <w14:ligatures w14:val="none"/>
        </w:rPr>
        <w:t>RMK Ussimäe büroohoone ja garaaži ehitustööd</w:t>
      </w:r>
      <w:r>
        <w:rPr>
          <w:rFonts w:ascii="Times New Roman" w:eastAsia="Times New Roman" w:hAnsi="Times New Roman" w:cs="Times New Roman"/>
          <w:b/>
          <w:bCs/>
          <w:iCs/>
          <w:kern w:val="0"/>
          <w:sz w:val="24"/>
          <w:szCs w:val="24"/>
          <w14:ligatures w14:val="none"/>
        </w:rPr>
        <w:t xml:space="preserve">. </w:t>
      </w:r>
      <w:r w:rsidRPr="00486332">
        <w:rPr>
          <w:rFonts w:ascii="Times New Roman" w:eastAsia="Times New Roman" w:hAnsi="Times New Roman" w:cs="Times New Roman"/>
          <w:b/>
          <w:bCs/>
          <w:iCs/>
          <w:kern w:val="0"/>
          <w:sz w:val="24"/>
          <w:szCs w:val="24"/>
          <w14:ligatures w14:val="none"/>
        </w:rPr>
        <w:t xml:space="preserve">Viitenumber: </w:t>
      </w:r>
      <w:r w:rsidR="00004C68" w:rsidRPr="00004C68">
        <w:rPr>
          <w:rFonts w:ascii="Times New Roman" w:eastAsia="Times New Roman" w:hAnsi="Times New Roman" w:cs="Times New Roman"/>
          <w:b/>
          <w:bCs/>
          <w:iCs/>
          <w:kern w:val="0"/>
          <w:sz w:val="24"/>
          <w:szCs w:val="24"/>
          <w14:ligatures w14:val="none"/>
        </w:rPr>
        <w:t>297578</w:t>
      </w:r>
      <w:r w:rsidRPr="00AA7B7D">
        <w:rPr>
          <w:rFonts w:ascii="Times New Roman" w:eastAsia="Times New Roman" w:hAnsi="Times New Roman" w:cs="Times New Roman"/>
          <w:iCs/>
          <w:kern w:val="0"/>
          <w:sz w:val="24"/>
          <w:szCs w:val="24"/>
          <w14:ligatures w14:val="none"/>
        </w:rPr>
        <w:t>“ (riigihanke alusdokumentides (RHAD) esitatud tingimustel.</w:t>
      </w:r>
    </w:p>
    <w:p w14:paraId="6E5F0A8D" w14:textId="77777777" w:rsidR="005B4950" w:rsidRPr="00AA7B7D" w:rsidRDefault="005B4950" w:rsidP="005B4950">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40401792" w14:textId="77777777" w:rsidR="005B4950" w:rsidRDefault="005B4950" w:rsidP="005B4950">
      <w:pPr>
        <w:pStyle w:val="11"/>
      </w:pPr>
      <w:r>
        <w:t>Hankija nimi ja andmed: Riigimetsa Majandamise Keskus, Mõisa/3, Sagadi küla, Haljala vald, Lääne-Viru maakond 45403, registrikood 70004459.</w:t>
      </w:r>
    </w:p>
    <w:p w14:paraId="75D50C22" w14:textId="1537B9AA" w:rsidR="005B4950" w:rsidRDefault="005B4950" w:rsidP="005B4950">
      <w:pPr>
        <w:pStyle w:val="11"/>
      </w:pPr>
      <w:r>
        <w:t xml:space="preserve">CPV Klassifikatsioon: </w:t>
      </w:r>
      <w:r w:rsidR="00004C68" w:rsidRPr="00004C68">
        <w:t>45210000-2</w:t>
      </w:r>
    </w:p>
    <w:p w14:paraId="093F7B3A" w14:textId="35357661" w:rsidR="005B4950" w:rsidRDefault="005B4950" w:rsidP="005B4950">
      <w:pPr>
        <w:pStyle w:val="11"/>
      </w:pPr>
      <w:r>
        <w:t xml:space="preserve">Töö teostamise aluseks on mh BOA OÜ poolt koostatud põhiprojekt </w:t>
      </w:r>
      <w:r w:rsidRPr="005B4950">
        <w:t>,,RMK USSIMÄE BÜROOHOONE JA GARAAŽI EHITUSPROJEKT“ Töö nr. 005-2024.</w:t>
      </w:r>
      <w:r>
        <w:t>“ ja riigihanke alusdokumendid.</w:t>
      </w:r>
    </w:p>
    <w:p w14:paraId="636711BF" w14:textId="77777777" w:rsidR="005B4950" w:rsidRDefault="005B4950" w:rsidP="005B4950">
      <w:pPr>
        <w:pStyle w:val="11"/>
      </w:pPr>
      <w:r>
        <w:t xml:space="preserve"> Riigihanke alusdokumendid (edaspidi RHAD) on kõik asjakohased RHS § 4 punktis 17 viidatud dokumendid, sh käesolev hankedokument koos kõikide lisadega;</w:t>
      </w:r>
    </w:p>
    <w:p w14:paraId="0420B6A4" w14:textId="77777777" w:rsidR="005B4950" w:rsidRDefault="005B4950" w:rsidP="005B4950">
      <w:pPr>
        <w:pStyle w:val="11"/>
      </w:pPr>
      <w:r>
        <w:t>RHAD osad täiendavad üksteist ja moodustavad tervikliku aluse pakkumuse koostamiseks. Ükskõik millises dokumendis märgitud nõue on pakkujale siduv.</w:t>
      </w:r>
    </w:p>
    <w:p w14:paraId="4F24AD19" w14:textId="1F586144" w:rsidR="005B4950" w:rsidRDefault="005B4950" w:rsidP="005B4950">
      <w:pPr>
        <w:pStyle w:val="11"/>
      </w:pPr>
      <w:r w:rsidRPr="00AA7B7D">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4D1164E2" w14:textId="77777777" w:rsidR="005B4950" w:rsidRPr="009B7728" w:rsidRDefault="005B4950" w:rsidP="005B4950">
      <w:pPr>
        <w:pStyle w:val="11"/>
      </w:pPr>
      <w:r w:rsidRPr="001219E9">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F5812E9" w14:textId="77777777" w:rsidR="005B4950" w:rsidRDefault="005B4950" w:rsidP="005B4950">
      <w:pPr>
        <w:pStyle w:val="11"/>
      </w:pPr>
      <w:r w:rsidRPr="001219E9">
        <w:t>Hankija ei ole jaotanud hanget osadeks, kuna see ei ole majanduslikult ja töökorralduslikult otstarbekas, tegemist on ühe tervikliku objekti rekonstrueerimisega.</w:t>
      </w:r>
    </w:p>
    <w:p w14:paraId="75F670FA" w14:textId="77777777" w:rsidR="00DB1522" w:rsidRPr="00DB1522" w:rsidRDefault="00DB1522" w:rsidP="00DB1522">
      <w:pPr>
        <w:pStyle w:val="11"/>
      </w:pPr>
      <w:r w:rsidRPr="00DB1522">
        <w:t>Juhul, kui kvalifitseerimistingimusena seatud või muu tööde teostamiseks nõutava tegevusloa või registreeringu kehtivus lõpeb hankelepingu täitmise ajal, on Töövõtjal kohustus pikendada nimetatud tegevusluba või registreeringut kuni hankelepingu täitmise tähtpäevani.</w:t>
      </w:r>
    </w:p>
    <w:p w14:paraId="190BDFC8" w14:textId="77777777" w:rsidR="00DB1522" w:rsidRDefault="00DB1522" w:rsidP="00DB1522">
      <w:pPr>
        <w:pStyle w:val="11"/>
        <w:numPr>
          <w:ilvl w:val="0"/>
          <w:numId w:val="0"/>
        </w:numPr>
        <w:ind w:left="432"/>
      </w:pPr>
    </w:p>
    <w:p w14:paraId="60DA4232" w14:textId="77777777" w:rsidR="005B4950" w:rsidRPr="00AA7B7D" w:rsidRDefault="005B4950" w:rsidP="005B4950">
      <w:pPr>
        <w:ind w:left="432"/>
        <w:jc w:val="both"/>
        <w:rPr>
          <w:rFonts w:ascii="Times New Roman" w:eastAsia="Times New Roman" w:hAnsi="Times New Roman" w:cs="Times New Roman"/>
          <w:kern w:val="0"/>
          <w:sz w:val="24"/>
          <w:szCs w:val="24"/>
          <w14:ligatures w14:val="none"/>
        </w:rPr>
      </w:pPr>
    </w:p>
    <w:p w14:paraId="302A51EE" w14:textId="77777777" w:rsidR="005B4950" w:rsidRPr="009975E4" w:rsidRDefault="005B4950" w:rsidP="005B4950">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r>
        <w:rPr>
          <w:rFonts w:ascii="Times New Roman" w:eastAsia="Times New Roman" w:hAnsi="Times New Roman" w:cs="Times New Roman"/>
          <w:b/>
          <w:kern w:val="0"/>
          <w:sz w:val="24"/>
          <w:szCs w:val="24"/>
          <w14:ligatures w14:val="none"/>
        </w:rPr>
        <w:t>JA TÄHTAEG</w:t>
      </w:r>
    </w:p>
    <w:p w14:paraId="4F79B125" w14:textId="77777777" w:rsidR="005B4950" w:rsidRDefault="005B4950" w:rsidP="005B4950">
      <w:pPr>
        <w:pStyle w:val="11"/>
      </w:pPr>
      <w:r w:rsidRPr="00773FCB">
        <w:t xml:space="preserve">Käesoleva riigihanke esemeks on olemasoleva </w:t>
      </w:r>
      <w:r w:rsidRPr="005B4950">
        <w:t>BOA OÜ poolt koostatud põhiprojekt</w:t>
      </w:r>
      <w:r>
        <w:t>i</w:t>
      </w:r>
      <w:r w:rsidRPr="005B4950">
        <w:t xml:space="preserve"> ,,RMK USSIMÄE BÜROOHOONE JA GARAAŽI EHITUSPROJEKT“ Töö nr. 005-2024</w:t>
      </w:r>
      <w:r w:rsidRPr="00773FCB">
        <w:t>“</w:t>
      </w:r>
      <w:r>
        <w:t>alusel</w:t>
      </w:r>
      <w:r w:rsidRPr="00773FCB">
        <w:t xml:space="preserve"> hoone valmis ehitamine koos kasutusloa hankimisega peatöövõtu korras, riigihanke alusdokumentides kirjeldatud tingimustel (edaspidi: tööd). </w:t>
      </w:r>
    </w:p>
    <w:p w14:paraId="2B8CD7D4" w14:textId="33C79EC0" w:rsidR="005B4950" w:rsidRDefault="005B4950" w:rsidP="005B4950">
      <w:pPr>
        <w:pStyle w:val="11"/>
      </w:pPr>
      <w:r w:rsidRPr="00773FCB">
        <w:lastRenderedPageBreak/>
        <w:t>Projekteeritava hoone</w:t>
      </w:r>
      <w:r>
        <w:t xml:space="preserve"> asukoht: Rakvere valda, Ussimäe külla, Kirde keskus, katastri tunnus 77004:001:0940.</w:t>
      </w:r>
    </w:p>
    <w:p w14:paraId="76984D6A" w14:textId="798E80C2" w:rsidR="005B4950" w:rsidRDefault="005B4950" w:rsidP="005B4950">
      <w:pPr>
        <w:pStyle w:val="11"/>
      </w:pPr>
      <w:r>
        <w:t xml:space="preserve">Kasutusloa taotlemise </w:t>
      </w:r>
      <w:r w:rsidRPr="00D318D6">
        <w:t>valmidus</w:t>
      </w:r>
      <w:r>
        <w:t xml:space="preserve"> peab olema saavutatud </w:t>
      </w:r>
      <w:r w:rsidRPr="00D318D6">
        <w:t xml:space="preserve">hiljemalt </w:t>
      </w:r>
      <w:r w:rsidR="00FE302D">
        <w:t>290</w:t>
      </w:r>
      <w:r w:rsidRPr="00D318D6">
        <w:t xml:space="preserve"> k</w:t>
      </w:r>
      <w:r w:rsidR="00FE302D">
        <w:t>alendripäeva</w:t>
      </w:r>
      <w:r w:rsidRPr="00D318D6">
        <w:t xml:space="preserve"> peale</w:t>
      </w:r>
      <w:r>
        <w:t xml:space="preserve"> lepingu sõlmimist</w:t>
      </w:r>
      <w:r w:rsidR="00ED60E9">
        <w:t>, tööd (sh kasutusluba on väljastatud) peavad üle antud olema</w:t>
      </w:r>
      <w:r w:rsidR="00477121">
        <w:t xml:space="preserve"> hiljemalt </w:t>
      </w:r>
      <w:r w:rsidR="00B33789">
        <w:t>330 kalendripäeva</w:t>
      </w:r>
      <w:r w:rsidR="00477121">
        <w:t xml:space="preserve"> lepingu sõlmimisest.</w:t>
      </w:r>
    </w:p>
    <w:p w14:paraId="5425350A" w14:textId="77777777" w:rsidR="006E7851" w:rsidRPr="006E7851" w:rsidRDefault="006E7851" w:rsidP="006E7851">
      <w:pPr>
        <w:pStyle w:val="11"/>
        <w:rPr>
          <w:bCs/>
        </w:rPr>
      </w:pPr>
      <w:r w:rsidRPr="006E7851">
        <w:rPr>
          <w:bCs/>
        </w:rPr>
        <w:t xml:space="preserve">Ehitustööde teostamiseks peab Pakkuja omama kehtivat MTR registreeringut tegevusalal Ehitamine, tegevusala liigis üldehituslik ehitamine või samaväärset teise riigi luba või registreeringut kogu lepingu-perioodi ajal. </w:t>
      </w:r>
    </w:p>
    <w:p w14:paraId="2B0FCDB1" w14:textId="15F0FF71" w:rsidR="006E7851" w:rsidRDefault="006E7851" w:rsidP="006E7851">
      <w:pPr>
        <w:pStyle w:val="11"/>
      </w:pPr>
      <w:r w:rsidRPr="006E7851">
        <w:rPr>
          <w:bCs/>
        </w:rPr>
        <w:t>Kasutusloa või -teatise ja kõik muud Tööde tegemiseks vajalikud load ja kooskõlastused peab hankima Töövõtja. Töövõtja peab järgima kõiki asjassepuutuvate ametkondade, võrguvaldajate ja maaomanike poolt kohaldatud nõudeid, juhiseid ja piiranguid. Kõik lubade ja kooskõlastuste hankimisega seotud kulud, sh riigilõivud, kannab Töövõtja</w:t>
      </w:r>
      <w:r>
        <w:rPr>
          <w:bCs/>
        </w:rPr>
        <w:t>.</w:t>
      </w:r>
    </w:p>
    <w:p w14:paraId="4BDED125" w14:textId="77777777" w:rsidR="005B4950" w:rsidRPr="00AA7B7D" w:rsidRDefault="005B4950" w:rsidP="005B4950">
      <w:pPr>
        <w:pStyle w:val="11"/>
      </w:pPr>
      <w:r>
        <w:t xml:space="preserve"> </w:t>
      </w:r>
      <w:r w:rsidRPr="00AA7B7D">
        <w:t>Tööde teostamise ajaks on nõutav pangagarantii 10 % hankelepingu sõlmimise aluseks olnud eduka pakkumuse maksumusest või sama summa deponeerimine tellija pangakontole.</w:t>
      </w:r>
    </w:p>
    <w:p w14:paraId="3E0A592D" w14:textId="77777777" w:rsidR="005B4950" w:rsidRPr="00AA7B7D" w:rsidRDefault="005B4950" w:rsidP="005B4950">
      <w:pPr>
        <w:pStyle w:val="11"/>
      </w:pPr>
      <w:r w:rsidRPr="00AA7B7D">
        <w:t xml:space="preserve">Töödele on nõutav teostusgarantii kestvusega 2 aastat arvates kasutuselevõtu akti allkirjastamisest tellija poolt. </w:t>
      </w:r>
    </w:p>
    <w:p w14:paraId="77E760DC" w14:textId="5D266C24" w:rsidR="00526D93" w:rsidRPr="00526D93" w:rsidRDefault="005B4950" w:rsidP="00526D93">
      <w:pPr>
        <w:pStyle w:val="11"/>
      </w:pPr>
      <w:r w:rsidRPr="00AA7B7D">
        <w:t xml:space="preserve">Hankelepingu eseme </w:t>
      </w:r>
      <w:r>
        <w:t xml:space="preserve">täpne </w:t>
      </w:r>
      <w:r w:rsidRPr="00AA7B7D">
        <w:t xml:space="preserve">tehniline kirjeldus on </w:t>
      </w:r>
      <w:r w:rsidRPr="00E45C96">
        <w:t xml:space="preserve">toodud </w:t>
      </w:r>
      <w:bookmarkEnd w:id="1"/>
      <w:r>
        <w:t>L</w:t>
      </w:r>
      <w:r w:rsidRPr="00E45C96">
        <w:t>isas 1 – tehniline kirjeldus</w:t>
      </w:r>
      <w:r w:rsidR="00760B20">
        <w:t xml:space="preserve"> koos lisadega mh ehitusprojekt</w:t>
      </w:r>
      <w:r w:rsidR="00253145">
        <w:t xml:space="preserve"> </w:t>
      </w:r>
      <w:r w:rsidR="00253145" w:rsidRPr="00253145">
        <w:t xml:space="preserve">(link allalaadimiseks https://rmk.ee/docs/ussimae/20250710_PP_Ussimae.zip ) </w:t>
      </w:r>
      <w:r w:rsidRPr="00E45C96">
        <w:t xml:space="preserve"> ja lepingu tingimused Lisas </w:t>
      </w:r>
      <w:r w:rsidR="00253145">
        <w:t>3</w:t>
      </w:r>
      <w:r w:rsidR="00757EAB">
        <w:t>.</w:t>
      </w:r>
    </w:p>
    <w:p w14:paraId="2E0BD9EE" w14:textId="027BD7D4" w:rsidR="005B4950" w:rsidRPr="00E45C96" w:rsidRDefault="005B4950" w:rsidP="00526D93">
      <w:pPr>
        <w:pStyle w:val="11"/>
        <w:numPr>
          <w:ilvl w:val="0"/>
          <w:numId w:val="0"/>
        </w:numPr>
        <w:ind w:left="432"/>
      </w:pPr>
    </w:p>
    <w:p w14:paraId="17B45D59" w14:textId="77777777" w:rsidR="005B4950" w:rsidRPr="00AA7B7D" w:rsidRDefault="005B4950" w:rsidP="005B4950">
      <w:pPr>
        <w:ind w:left="432"/>
        <w:jc w:val="both"/>
        <w:rPr>
          <w:rFonts w:ascii="Times New Roman" w:eastAsia="Times New Roman" w:hAnsi="Times New Roman" w:cs="Times New Roman"/>
          <w:kern w:val="0"/>
          <w:sz w:val="24"/>
          <w:szCs w:val="24"/>
          <w14:ligatures w14:val="none"/>
        </w:rPr>
      </w:pPr>
    </w:p>
    <w:p w14:paraId="7D6DE9A8" w14:textId="77777777" w:rsidR="005B4950" w:rsidRDefault="005B4950" w:rsidP="005B4950">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Pr>
          <w:rFonts w:ascii="Times New Roman" w:eastAsia="Times New Roman" w:hAnsi="Times New Roman" w:cs="Times New Roman"/>
          <w:b/>
          <w:bCs/>
          <w:kern w:val="32"/>
          <w:sz w:val="24"/>
          <w:szCs w:val="24"/>
          <w14:ligatures w14:val="none"/>
        </w:rPr>
        <w:t>GARANTIID JA KINDLUSTUS</w:t>
      </w:r>
    </w:p>
    <w:p w14:paraId="5A176225" w14:textId="77108276" w:rsidR="005B4950" w:rsidRDefault="005B4950" w:rsidP="005B4950">
      <w:pPr>
        <w:pStyle w:val="11"/>
      </w:pPr>
      <w:r>
        <w:t>T</w:t>
      </w:r>
      <w:r w:rsidRPr="001219E9">
        <w:t xml:space="preserve">öövõtja peab esitama Tellijale peale hankelepingu sõlmimist, tingimusteta, tagasivõtmatu ja </w:t>
      </w:r>
      <w:r>
        <w:t>T</w:t>
      </w:r>
      <w:r w:rsidRPr="005B1B40">
        <w:t>ellija esimesel nõudmisel sissenõutava</w:t>
      </w:r>
      <w:r>
        <w:t xml:space="preserve"> </w:t>
      </w:r>
      <w:r w:rsidRPr="001219E9">
        <w:t>võlaõigusseaduse §-le 155 vastava krediidi- või finantseerimisasutuse või kindlustusandja garantiikirja (10% hankelepingu sõlmimise aluseks olnud eduka pakkumuse maksumusest)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sõltumata hankelepingus näidatud hankelepingu kehtivuse ajast.</w:t>
      </w:r>
      <w:r w:rsidRPr="007731B8">
        <w:t xml:space="preserve"> </w:t>
      </w:r>
    </w:p>
    <w:p w14:paraId="4E1D0CC4" w14:textId="77777777" w:rsidR="005B4950" w:rsidRDefault="005B4950" w:rsidP="005B4950">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B7FA78D" w14:textId="1C22984F" w:rsidR="005B4950" w:rsidRDefault="005B4950" w:rsidP="005B4950">
      <w:pPr>
        <w:pStyle w:val="11"/>
      </w:pPr>
      <w:r>
        <w:t>Lisaks kohustub Töövõtja andma Tellijale koos Tööde lõpetamisel koostatava viimase akti ja arvega krediidi- või finantseerimisasutuse või kindlustusandja garantiikirja T</w:t>
      </w:r>
      <w:r w:rsidRPr="005B1B40">
        <w:t>ellija esimesel nõudmisel sissenõutava</w:t>
      </w:r>
      <w:r>
        <w:t xml:space="preserve"> ehituse garantiiaja tagatise </w:t>
      </w:r>
      <w:r w:rsidR="00ED4C0E">
        <w:t>2</w:t>
      </w:r>
      <w:r>
        <w:t xml:space="preserve"> (</w:t>
      </w:r>
      <w:r w:rsidR="00ED4C0E">
        <w:t>kaks</w:t>
      </w:r>
      <w:r>
        <w:t>) % ulatuses tööde käigus kujunenud lõplikust Lepingu hinnast koos käibemaksuga. Garantiiaja tagatis</w:t>
      </w:r>
      <w:r w:rsidR="007C558D">
        <w:t xml:space="preserve"> peab olema antud</w:t>
      </w:r>
      <w:r>
        <w:t xml:space="preserve"> </w:t>
      </w:r>
      <w:r w:rsidRPr="009975E4">
        <w:t>võlaõigusseaduse §-le 155 vastava krediidi- või finantseerimisasutuse või kindlustusandja tagasivõtmatu ja tingimusteta garantiina pakkuja poolt kohustuste täitmata jätmisega tekitatud kahjude täieliku või osalise hüvitamise tagamiseks</w:t>
      </w:r>
      <w:r>
        <w:t xml:space="preserve"> Tagatis antakse 2 (kaheks) aastaks. </w:t>
      </w:r>
    </w:p>
    <w:p w14:paraId="7B4B98B9" w14:textId="77777777" w:rsidR="005B4950" w:rsidRDefault="005B4950" w:rsidP="005B4950">
      <w:pPr>
        <w:pStyle w:val="11"/>
      </w:pPr>
      <w:r>
        <w:t>Töövõtja poolt Töödele antav garantiiaeg on 2 (kaks) aastat. Garantiiaeg algab Tööde üleandmise-vastuvõtmise lõppakti Tellija kinnituse kuupäevast.</w:t>
      </w:r>
    </w:p>
    <w:p w14:paraId="1E2EDC82" w14:textId="52DE23F2" w:rsidR="005B4950" w:rsidRDefault="005B4950" w:rsidP="005B4950">
      <w:pPr>
        <w:pStyle w:val="11"/>
      </w:pPr>
      <w:r>
        <w:t xml:space="preserve">Töövõtja on kohustatud sõlmima Lepingu alusel tehtavate Tööde perioodiks ehituse koguriskikindlustuse CAR enda kulul ja enda poolt valitud kindlustusseltsis lähtudes alljärgnevatest nõuetest: kindlustatud on Lepingus toodud Tööd koos kasutatavate </w:t>
      </w:r>
      <w:r>
        <w:lastRenderedPageBreak/>
        <w:t xml:space="preserve">materjalidega kindlustusväärtusega, mis on võrdne Lepingu hinnaga;. kindlustatud on Tööde teostamise käigus võimalik kolmandatele isikutele tekkinud kahju sealhulgas varaline (vastutuskindlustus) hüvitamise piirmääraga minimaalselt </w:t>
      </w:r>
      <w:r w:rsidR="00291387">
        <w:t>100</w:t>
      </w:r>
      <w:r>
        <w:t xml:space="preserve"> 000 (</w:t>
      </w:r>
      <w:r w:rsidR="00291387">
        <w:t>ükssada</w:t>
      </w:r>
      <w:r>
        <w:t>) eurot. Nimetatud kindlustuse piirmäära maksumus sisaldub ehituse koguriskikindlustuse hüvitamise piirmäära hinnas; Töövõtja kohustub hoidma kindlustuslepingut katkematult jõus kuni Tööde lõpliku üleandmise-vastuvõtmiseni.</w:t>
      </w:r>
    </w:p>
    <w:p w14:paraId="06CE1EE7" w14:textId="77777777" w:rsidR="005B4950" w:rsidRPr="001219E9" w:rsidRDefault="005B4950" w:rsidP="005B4950">
      <w:pPr>
        <w:pStyle w:val="11"/>
      </w:pPr>
      <w:r>
        <w:t>Poliisi kehtivuse lõppemisel kohustub Töövõtja selle viivitamatult uuendama ja esitama uuendatud poliisi koheselt Tellijale selliselt, et ei esineks kindlustuskaitsega katmata perioode.</w:t>
      </w:r>
    </w:p>
    <w:p w14:paraId="2C8435D2" w14:textId="77777777" w:rsidR="005B4950" w:rsidRPr="00AA7B7D" w:rsidRDefault="005B4950" w:rsidP="005B4950">
      <w:pPr>
        <w:spacing w:after="120"/>
        <w:jc w:val="both"/>
        <w:rPr>
          <w:rFonts w:ascii="Times New Roman" w:eastAsia="Times New Roman" w:hAnsi="Times New Roman" w:cs="Times New Roman"/>
          <w:kern w:val="0"/>
          <w:sz w:val="24"/>
          <w:szCs w:val="24"/>
          <w14:ligatures w14:val="none"/>
        </w:rPr>
      </w:pPr>
    </w:p>
    <w:p w14:paraId="67119214" w14:textId="7526CC98" w:rsidR="005B4950" w:rsidRPr="00AA7B7D" w:rsidRDefault="005B4950" w:rsidP="005B4950">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r w:rsidR="00291387">
        <w:rPr>
          <w:rFonts w:ascii="Times New Roman" w:eastAsia="Times New Roman" w:hAnsi="Times New Roman" w:cs="Times New Roman"/>
          <w:b/>
          <w:bCs/>
          <w:kern w:val="32"/>
          <w:sz w:val="24"/>
          <w:szCs w:val="24"/>
          <w14:ligatures w14:val="none"/>
        </w:rPr>
        <w:t>E ESITAMINE</w:t>
      </w:r>
    </w:p>
    <w:p w14:paraId="281DEC79" w14:textId="50F46DAA" w:rsidR="005B4950" w:rsidRDefault="005B4950" w:rsidP="005B4950">
      <w:pPr>
        <w:pStyle w:val="11"/>
        <w:rPr>
          <w:shd w:val="clear" w:color="auto" w:fill="FFFFFF"/>
        </w:rPr>
      </w:pPr>
      <w:r w:rsidRPr="00632937">
        <w:rPr>
          <w:shd w:val="clear" w:color="auto" w:fill="FFFFFF"/>
        </w:rPr>
        <w:t xml:space="preserve">Pakkuja esitab </w:t>
      </w:r>
      <w:r w:rsidR="00FF586E">
        <w:rPr>
          <w:shd w:val="clear" w:color="auto" w:fill="FFFFFF"/>
        </w:rPr>
        <w:t xml:space="preserve">maksumuse </w:t>
      </w:r>
      <w:r w:rsidR="00FF586E" w:rsidRPr="00EB7D8A">
        <w:rPr>
          <w:shd w:val="clear" w:color="auto" w:fill="FFFFFF"/>
        </w:rPr>
        <w:t xml:space="preserve">tabeli </w:t>
      </w:r>
      <w:r w:rsidR="00291387" w:rsidRPr="00EB7D8A">
        <w:rPr>
          <w:shd w:val="clear" w:color="auto" w:fill="FFFFFF"/>
        </w:rPr>
        <w:t xml:space="preserve"> Lisa </w:t>
      </w:r>
      <w:r w:rsidR="00FF586E" w:rsidRPr="00EB7D8A">
        <w:rPr>
          <w:shd w:val="clear" w:color="auto" w:fill="FFFFFF"/>
        </w:rPr>
        <w:t>2</w:t>
      </w:r>
      <w:r w:rsidR="00291387" w:rsidRPr="00EB7D8A">
        <w:rPr>
          <w:shd w:val="clear" w:color="auto" w:fill="FFFFFF"/>
        </w:rPr>
        <w:t xml:space="preserve"> </w:t>
      </w:r>
      <w:r w:rsidRPr="00EB7D8A">
        <w:rPr>
          <w:shd w:val="clear" w:color="auto" w:fill="FFFFFF"/>
        </w:rPr>
        <w:t>ning</w:t>
      </w:r>
      <w:r w:rsidRPr="00632937">
        <w:rPr>
          <w:shd w:val="clear" w:color="auto" w:fill="FFFFFF"/>
        </w:rPr>
        <w:t xml:space="preserve"> eRHR süsteemis hinnatavate näitajate all hinnapakkumuse vormilt pakkumuse kogumaksumuse. </w:t>
      </w:r>
      <w:r w:rsidR="00FF586E">
        <w:rPr>
          <w:shd w:val="clear" w:color="auto" w:fill="FFFFFF"/>
        </w:rPr>
        <w:t xml:space="preserve">Maksumuse tabelis </w:t>
      </w:r>
      <w:r w:rsidR="00291387" w:rsidRPr="00291387">
        <w:rPr>
          <w:shd w:val="clear" w:color="auto" w:fill="FFFFFF"/>
        </w:rPr>
        <w:t>tuleb täita kõik read.</w:t>
      </w:r>
    </w:p>
    <w:p w14:paraId="5DA9153C" w14:textId="2A061419" w:rsidR="00291387" w:rsidRDefault="00291387" w:rsidP="00291387">
      <w:pPr>
        <w:pStyle w:val="11"/>
        <w:rPr>
          <w:shd w:val="clear" w:color="auto" w:fill="FFFFFF"/>
        </w:rPr>
      </w:pPr>
      <w:r w:rsidRPr="00291387">
        <w:rPr>
          <w:shd w:val="clear" w:color="auto" w:fill="FFFFFF"/>
        </w:rPr>
        <w:t xml:space="preserve">Ehitusööde maksumused peavad sisaldama kindlustuste, tagatiste, teostusjooniste, tööjooniste, tööprojekti,  vastuvõtudokumentatsiooni, uuringute, katsetuste, kontrolltoimingute, lammutustööde, utiliseerimise hindu ja kõiki muid hindu, mida </w:t>
      </w:r>
      <w:r w:rsidR="00FF586E">
        <w:rPr>
          <w:shd w:val="clear" w:color="auto" w:fill="FFFFFF"/>
        </w:rPr>
        <w:t xml:space="preserve">maksumuse tabelis </w:t>
      </w:r>
      <w:r w:rsidRPr="00291387">
        <w:rPr>
          <w:shd w:val="clear" w:color="auto" w:fill="FFFFFF"/>
        </w:rPr>
        <w:t>positsioonides arvestatud ei ole</w:t>
      </w:r>
      <w:r>
        <w:rPr>
          <w:shd w:val="clear" w:color="auto" w:fill="FFFFFF"/>
        </w:rPr>
        <w:t>, kuid mis on vajalikud hanke eesmärgi nõuetekohaseks täitmiseks.</w:t>
      </w:r>
    </w:p>
    <w:p w14:paraId="5422E8A5" w14:textId="67A66EBE" w:rsidR="00323114" w:rsidRPr="00323114" w:rsidRDefault="00323114" w:rsidP="00323114">
      <w:pPr>
        <w:pStyle w:val="11"/>
        <w:rPr>
          <w:shd w:val="clear" w:color="auto" w:fill="FFFFFF"/>
        </w:rPr>
      </w:pPr>
      <w:r w:rsidRPr="00323114">
        <w:rPr>
          <w:shd w:val="clear" w:color="auto" w:fill="FFFFFF"/>
        </w:rPr>
        <w:t>Pakkumuse</w:t>
      </w:r>
      <w:r>
        <w:rPr>
          <w:shd w:val="clear" w:color="auto" w:fill="FFFFFF"/>
        </w:rPr>
        <w:t xml:space="preserve"> maksumuses</w:t>
      </w:r>
      <w:r w:rsidRPr="00323114">
        <w:rPr>
          <w:shd w:val="clear" w:color="auto" w:fill="FFFFFF"/>
        </w:rPr>
        <w:t xml:space="preserve"> tuleb arvestada ka nende töödega, mis ei ole riigihanke alusdokumentides otseselt kirjeldatud, kuid on vajalikud teha tulenevalt ehitusobjekti tegelikust olukorrast ja seisundist, tulenevad kehtivatest õigusaktidest, tehnilistest normidest, standarditest ja vastavate ametkondade nõuetest.</w:t>
      </w:r>
    </w:p>
    <w:p w14:paraId="5A43EB70" w14:textId="77777777" w:rsidR="00323114" w:rsidRPr="00323114" w:rsidRDefault="00323114" w:rsidP="00323114">
      <w:pPr>
        <w:pStyle w:val="11"/>
        <w:rPr>
          <w:shd w:val="clear" w:color="auto" w:fill="FFFFFF"/>
        </w:rPr>
      </w:pPr>
      <w:r w:rsidRPr="00323114">
        <w:rPr>
          <w:shd w:val="clear" w:color="auto" w:fill="FFFFFF"/>
        </w:rPr>
        <w:t xml:space="preserve"> Tellija eeldab, et pakkuja on ehitusprojekti ja  objekti olemasoleva olukorraga tutvunud ning oma pakkumuses arvestanud kõikide vajalike töödega, tuginedes tööde vajaduse ja hinna määramisel oma professionaalsusele ja sarnaste tööde kogemusele. Pakutu suhe tegelikkusesse on pakkuja risk.</w:t>
      </w:r>
    </w:p>
    <w:p w14:paraId="4AC1E467" w14:textId="7AAC1E4C" w:rsidR="00323114" w:rsidRPr="00291387" w:rsidRDefault="00323114" w:rsidP="00323114">
      <w:pPr>
        <w:pStyle w:val="11"/>
        <w:rPr>
          <w:shd w:val="clear" w:color="auto" w:fill="FFFFFF"/>
        </w:rPr>
      </w:pPr>
      <w:r w:rsidRPr="00323114">
        <w:rPr>
          <w:shd w:val="clear" w:color="auto" w:fill="FFFFFF"/>
        </w:rPr>
        <w:t>Riigihanke alusdokumentides kirjeldatud eesmärgi täitmiseks vajalike tööde mahtude määramine on pakkuja kohustus. Juhul kui riigihanke alusdokumentide või selle lisades on esitatud konkreetsed tööde mahud, tuleb lugeda neid informatiivseteks ning pakkumuses tuleb arvestada tegelike vajalike tööde mahtudega</w:t>
      </w:r>
    </w:p>
    <w:p w14:paraId="3AA094CF" w14:textId="6F8E0CC9" w:rsidR="00291387" w:rsidRPr="00291387" w:rsidRDefault="00291387" w:rsidP="00291387">
      <w:pPr>
        <w:pStyle w:val="11"/>
        <w:rPr>
          <w:shd w:val="clear" w:color="auto" w:fill="FFFFFF"/>
        </w:rPr>
      </w:pPr>
      <w:r w:rsidRPr="00291387">
        <w:rPr>
          <w:shd w:val="clear" w:color="auto" w:fill="FFFFFF"/>
        </w:rPr>
        <w:t xml:space="preserve">Juhul, kui mingis </w:t>
      </w:r>
      <w:r>
        <w:rPr>
          <w:shd w:val="clear" w:color="auto" w:fill="FFFFFF"/>
        </w:rPr>
        <w:t>p</w:t>
      </w:r>
      <w:r w:rsidRPr="00291387">
        <w:rPr>
          <w:shd w:val="clear" w:color="auto" w:fill="FFFFFF"/>
        </w:rPr>
        <w:t xml:space="preserve">akkumuse maksumuse vormis on mingi töö või selle osa kirjeldus puudu või puudulik, kuid projekti tingimuste järgi peaks see olemas olema, tuleb </w:t>
      </w:r>
      <w:r>
        <w:rPr>
          <w:shd w:val="clear" w:color="auto" w:fill="FFFFFF"/>
        </w:rPr>
        <w:t>p</w:t>
      </w:r>
      <w:r w:rsidRPr="00291387">
        <w:rPr>
          <w:shd w:val="clear" w:color="auto" w:fill="FFFFFF"/>
        </w:rPr>
        <w:t xml:space="preserve">akkujal arvestada selle positsiooni hind teise sarnase positsiooni hinna sisse. Samuti tuleb teise sarnase positsiooni hinna sisse arvestada positsiooni hind, mis </w:t>
      </w:r>
      <w:r>
        <w:rPr>
          <w:shd w:val="clear" w:color="auto" w:fill="FFFFFF"/>
        </w:rPr>
        <w:t>p</w:t>
      </w:r>
      <w:r w:rsidRPr="00291387">
        <w:rPr>
          <w:shd w:val="clear" w:color="auto" w:fill="FFFFFF"/>
        </w:rPr>
        <w:t xml:space="preserve">akkuja arvates peaks loogiliselt </w:t>
      </w:r>
      <w:r>
        <w:rPr>
          <w:shd w:val="clear" w:color="auto" w:fill="FFFFFF"/>
        </w:rPr>
        <w:t>p</w:t>
      </w:r>
      <w:r w:rsidRPr="00291387">
        <w:rPr>
          <w:shd w:val="clear" w:color="auto" w:fill="FFFFFF"/>
        </w:rPr>
        <w:t>akkumuse maksumuse vormis olema, kuid puudub sealt.</w:t>
      </w:r>
    </w:p>
    <w:p w14:paraId="3D79A643" w14:textId="253E5B2E" w:rsidR="00291387" w:rsidRPr="00291387" w:rsidRDefault="00291387" w:rsidP="00291387">
      <w:pPr>
        <w:pStyle w:val="11"/>
        <w:rPr>
          <w:shd w:val="clear" w:color="auto" w:fill="FFFFFF"/>
        </w:rPr>
      </w:pPr>
      <w:r w:rsidRPr="00291387">
        <w:rPr>
          <w:shd w:val="clear" w:color="auto" w:fill="FFFFFF"/>
        </w:rPr>
        <w:t xml:space="preserve">Maksumuse suurused, mida </w:t>
      </w:r>
      <w:r>
        <w:rPr>
          <w:shd w:val="clear" w:color="auto" w:fill="FFFFFF"/>
        </w:rPr>
        <w:t>p</w:t>
      </w:r>
      <w:r w:rsidRPr="00291387">
        <w:rPr>
          <w:shd w:val="clear" w:color="auto" w:fill="FFFFFF"/>
        </w:rPr>
        <w:t xml:space="preserve">akkuja pakub erinevatele objektidele </w:t>
      </w:r>
      <w:r w:rsidR="00BF42CB">
        <w:rPr>
          <w:shd w:val="clear" w:color="auto" w:fill="FFFFFF"/>
        </w:rPr>
        <w:t xml:space="preserve">maksumuse tabeli </w:t>
      </w:r>
      <w:r w:rsidRPr="00291387">
        <w:rPr>
          <w:shd w:val="clear" w:color="auto" w:fill="FFFFFF"/>
        </w:rPr>
        <w:t>vormis peavad omama õiget suhet antud objektis sisalduvate tööde, teenuste, ja tarnete tegelikku maksumusse. Kõik vajalikud lisakulud, kasum, üldkulud, tuleb jaotada ühtlaselt üle kõigi teiste objektide, kuid kulud, mis on seotud ainult teatud objekti või objektidega tuleb jaotada ainult nendele objektidele.</w:t>
      </w:r>
    </w:p>
    <w:p w14:paraId="43FDBB06" w14:textId="509AD036" w:rsidR="00291387" w:rsidRPr="00291387" w:rsidRDefault="00291387" w:rsidP="00291387">
      <w:pPr>
        <w:pStyle w:val="11"/>
        <w:rPr>
          <w:shd w:val="clear" w:color="auto" w:fill="FFFFFF"/>
        </w:rPr>
      </w:pPr>
      <w:r w:rsidRPr="00291387">
        <w:rPr>
          <w:shd w:val="clear" w:color="auto" w:fill="FFFFFF"/>
        </w:rPr>
        <w:t>Pakkuja peab pakkumuse koostamise ja esitamisel olema lähtunud sellest, et hanke alusdokumentides olevad joonised ning töömahu</w:t>
      </w:r>
      <w:r w:rsidR="00BF42CB">
        <w:rPr>
          <w:shd w:val="clear" w:color="auto" w:fill="FFFFFF"/>
        </w:rPr>
        <w:t>d</w:t>
      </w:r>
      <w:r w:rsidRPr="00291387">
        <w:rPr>
          <w:shd w:val="clear" w:color="auto" w:fill="FFFFFF"/>
        </w:rPr>
        <w:t xml:space="preserve"> on ligikaudsed ning Pakkuja peab hindama tegelikku olukorda</w:t>
      </w:r>
      <w:r w:rsidR="00DD4C31">
        <w:rPr>
          <w:shd w:val="clear" w:color="auto" w:fill="FFFFFF"/>
        </w:rPr>
        <w:t>.</w:t>
      </w:r>
    </w:p>
    <w:p w14:paraId="0EE3F757" w14:textId="7392E0EE" w:rsidR="00291387" w:rsidRDefault="00291387" w:rsidP="00291387">
      <w:pPr>
        <w:pStyle w:val="11"/>
        <w:rPr>
          <w:shd w:val="clear" w:color="auto" w:fill="FFFFFF"/>
        </w:rPr>
      </w:pPr>
      <w:r w:rsidRPr="00291387">
        <w:rPr>
          <w:shd w:val="clear" w:color="auto" w:fill="FFFFFF"/>
        </w:rPr>
        <w:t xml:space="preserve">Summa, mille Pakkuja kannab Pakkumuse maksumuse vormi, on Töövõtjale siduv ning Töövõtja teostab ja lõpetab selle summa raames kõik vajalikud tööd igas mõttes. Pakkuja peab olema võtnud arvesse kõik nõudmised ja kohustused ning need kajastuvad tema poolt Pakkumuse maksumuse vormi kantud summas. Seega peab summa sisaldama kõiki lepingu nõuetekohaseks täitmiseks vajalikke, kuid kirjeldamata tegevusi ja riske, mis on </w:t>
      </w:r>
      <w:r w:rsidRPr="00291387">
        <w:rPr>
          <w:shd w:val="clear" w:color="auto" w:fill="FFFFFF"/>
        </w:rPr>
        <w:lastRenderedPageBreak/>
        <w:t>vajalikud tööde teostamiseks ja lõpetamiseks. Pakkumuse hinda ei saa muuta pärast pakkumuse esitamise tähtaja möödumist. Pakkuja poolt pakkumuse esitamine tähendab pakkuja täielikku ja ühest nõusolekut ja arusaamist kõigist pakkumise tingimustest ja reeglitest, mis on teatavaks tehtud hanketeates ja hanke alusdokumentides.</w:t>
      </w:r>
    </w:p>
    <w:p w14:paraId="1F05A451" w14:textId="33483D7A" w:rsidR="005B4950" w:rsidRDefault="005B4950" w:rsidP="005B4950">
      <w:pPr>
        <w:pStyle w:val="11"/>
        <w:rPr>
          <w:shd w:val="clear" w:color="auto" w:fill="FFFFFF"/>
        </w:rPr>
      </w:pPr>
      <w:r w:rsidRPr="00632937">
        <w:rPr>
          <w:shd w:val="clear" w:color="auto" w:fill="FFFFFF"/>
        </w:rPr>
        <w:t xml:space="preserve">Juhul, kui pakkumuse kogumaksumus </w:t>
      </w:r>
      <w:r w:rsidR="005D5CF5">
        <w:rPr>
          <w:shd w:val="clear" w:color="auto" w:fill="FFFFFF"/>
        </w:rPr>
        <w:t xml:space="preserve">maksumuse tabeli </w:t>
      </w:r>
      <w:r w:rsidRPr="00632937">
        <w:rPr>
          <w:shd w:val="clear" w:color="auto" w:fill="FFFFFF"/>
        </w:rPr>
        <w:t xml:space="preserve">vormil ja RHR süsteemis täidetaval maksumuse vormil erinevad teineteisest, loeb hankija õigeks </w:t>
      </w:r>
      <w:r w:rsidR="005D5CF5">
        <w:rPr>
          <w:shd w:val="clear" w:color="auto" w:fill="FFFFFF"/>
        </w:rPr>
        <w:t>maksumuse tabeli</w:t>
      </w:r>
      <w:r w:rsidR="00DD4C31">
        <w:rPr>
          <w:shd w:val="clear" w:color="auto" w:fill="FFFFFF"/>
        </w:rPr>
        <w:t xml:space="preserve"> </w:t>
      </w:r>
      <w:r w:rsidRPr="00632937">
        <w:rPr>
          <w:shd w:val="clear" w:color="auto" w:fill="FFFFFF"/>
        </w:rPr>
        <w:t>vormil pakutud pakkumuse kogumaksumust, eeldusel, et ei esine arvutusvigu.</w:t>
      </w:r>
    </w:p>
    <w:p w14:paraId="4CD11BB0" w14:textId="77777777" w:rsidR="00DD4C31" w:rsidRDefault="005B4950" w:rsidP="005B4950">
      <w:pPr>
        <w:pStyle w:val="11"/>
        <w:rPr>
          <w:shd w:val="clear" w:color="auto" w:fill="FFFFFF"/>
        </w:rPr>
      </w:pPr>
      <w:r w:rsidRPr="00632937">
        <w:rPr>
          <w:shd w:val="clear" w:color="auto" w:fill="FFFFFF"/>
        </w:rPr>
        <w:t>Null või negatiivse väärtusega maksumusi ei ole lubatud kasutada ja sellised pakkumused on hankijal õigus lugeda mittevastavaks ning tagasi lükata.</w:t>
      </w:r>
    </w:p>
    <w:p w14:paraId="299F2D81" w14:textId="77777777" w:rsidR="00DD4C31" w:rsidRDefault="005B4950" w:rsidP="00DD4C31">
      <w:pPr>
        <w:pStyle w:val="11"/>
        <w:numPr>
          <w:ilvl w:val="0"/>
          <w:numId w:val="0"/>
        </w:numPr>
        <w:ind w:left="432"/>
        <w:rPr>
          <w:shd w:val="clear" w:color="auto" w:fill="FFFFFF"/>
        </w:rPr>
      </w:pPr>
      <w:r w:rsidRPr="00632937">
        <w:rPr>
          <w:shd w:val="clear" w:color="auto" w:fill="FFFFFF"/>
        </w:rPr>
        <w:t>Hankija ei hüvita lepingu täitmisel pakkujale mingeid täiendavaid kulusid ega tee täiendavaid makseid.</w:t>
      </w:r>
    </w:p>
    <w:p w14:paraId="1C83BDDE" w14:textId="17607DE1" w:rsidR="005B4950" w:rsidRDefault="005B4950" w:rsidP="00DD4C31">
      <w:pPr>
        <w:pStyle w:val="11"/>
        <w:rPr>
          <w:shd w:val="clear" w:color="auto" w:fill="FFFFFF"/>
        </w:rPr>
      </w:pPr>
      <w:r w:rsidRPr="00632937">
        <w:rPr>
          <w:shd w:val="clear" w:color="auto" w:fill="FFFFFF"/>
        </w:rPr>
        <w:t>Huvitatud isik või pakkuja kannab hankemenetluses osalemisega seotud kogukulud ja -riski, kaasa arvatud vääramatu jõu (force majeure) toime võimalused.</w:t>
      </w:r>
    </w:p>
    <w:p w14:paraId="0517B44F" w14:textId="77777777" w:rsidR="005B4950" w:rsidRPr="00AA7B7D" w:rsidRDefault="005B4950" w:rsidP="005B4950">
      <w:pPr>
        <w:pStyle w:val="11"/>
        <w:numPr>
          <w:ilvl w:val="0"/>
          <w:numId w:val="0"/>
        </w:numPr>
        <w:ind w:left="432"/>
        <w:rPr>
          <w:shd w:val="clear" w:color="auto" w:fill="FFFFFF"/>
        </w:rPr>
      </w:pPr>
    </w:p>
    <w:p w14:paraId="796CF930" w14:textId="77777777" w:rsidR="005B4950" w:rsidRDefault="005B4950" w:rsidP="005B4950">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64A09302" w14:textId="77777777" w:rsidR="005B4950" w:rsidRPr="00F04CC5" w:rsidRDefault="005B4950" w:rsidP="005B4950">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7F349534" w14:textId="03A4EE7D" w:rsidR="005B4950" w:rsidRPr="00F04CC5" w:rsidRDefault="005B4950" w:rsidP="005B4950">
      <w:pPr>
        <w:pStyle w:val="11"/>
        <w:rPr>
          <w:b/>
          <w:bCs/>
          <w:shd w:val="clear" w:color="auto" w:fill="FFFFFF"/>
        </w:rPr>
      </w:pPr>
      <w:r w:rsidRPr="00F04CC5">
        <w:rPr>
          <w:rFonts w:cs="Times New Roman"/>
          <w:szCs w:val="24"/>
        </w:rPr>
        <w:t>Pakkuja esitab koos pakkumusega teise isiku hankepassi ning teise isiku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1F4CF829" w14:textId="77777777" w:rsidR="005B4950" w:rsidRPr="00F04CC5" w:rsidRDefault="005B4950" w:rsidP="005B4950">
      <w:pPr>
        <w:pStyle w:val="11"/>
        <w:rPr>
          <w:b/>
          <w:bCs/>
          <w:shd w:val="clear" w:color="auto" w:fill="FFFFFF"/>
        </w:rPr>
      </w:pPr>
      <w:r w:rsidRPr="00F04CC5">
        <w:rPr>
          <w:rFonts w:cs="Times New Roman"/>
          <w:szCs w:val="24"/>
        </w:rPr>
        <w:t>Pakkumus peab sisaldama infot iga ühispakkuja poolt täidetava lepingu osa suuruse ja iseloomu kohta.</w:t>
      </w:r>
    </w:p>
    <w:p w14:paraId="66D8F191" w14:textId="77777777" w:rsidR="005B4950" w:rsidRPr="00AA7B7D" w:rsidRDefault="005B4950" w:rsidP="005B4950">
      <w:pPr>
        <w:ind w:left="432"/>
        <w:jc w:val="both"/>
        <w:rPr>
          <w:rFonts w:ascii="Times New Roman" w:eastAsia="Times New Roman" w:hAnsi="Times New Roman" w:cs="Times New Roman"/>
          <w:kern w:val="0"/>
          <w:sz w:val="24"/>
          <w:szCs w:val="24"/>
          <w:shd w:val="clear" w:color="auto" w:fill="FFFFFF"/>
          <w14:ligatures w14:val="none"/>
        </w:rPr>
      </w:pPr>
    </w:p>
    <w:p w14:paraId="2BB83C1E" w14:textId="77777777" w:rsidR="005B4950" w:rsidRDefault="005B4950" w:rsidP="005B4950">
      <w:pPr>
        <w:numPr>
          <w:ilvl w:val="0"/>
          <w:numId w:val="1"/>
        </w:numPr>
        <w:spacing w:after="120"/>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55E708B7" w14:textId="77777777" w:rsidR="005B4950" w:rsidRPr="00F04CC5" w:rsidRDefault="005B4950" w:rsidP="005B4950">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1B4628B4" w14:textId="77777777" w:rsidR="005B4950" w:rsidRPr="00F04CC5" w:rsidRDefault="005B4950" w:rsidP="005B4950">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6D943B28" w14:textId="77777777" w:rsidR="005B4950" w:rsidRPr="00AA7B7D" w:rsidRDefault="005B4950" w:rsidP="005B4950">
      <w:pPr>
        <w:suppressAutoHyphens/>
        <w:spacing w:after="120"/>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6AAE6F74" w14:textId="77777777" w:rsidR="005B4950" w:rsidRDefault="005B4950" w:rsidP="005B4950">
      <w:pPr>
        <w:numPr>
          <w:ilvl w:val="0"/>
          <w:numId w:val="1"/>
        </w:numPr>
        <w:spacing w:after="120"/>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7"/>
      <w:bookmarkEnd w:id="8"/>
      <w:bookmarkEnd w:id="9"/>
      <w:bookmarkEnd w:id="10"/>
    </w:p>
    <w:p w14:paraId="40F6B425" w14:textId="77777777" w:rsidR="005B4950" w:rsidRPr="00F04CC5" w:rsidRDefault="005B4950" w:rsidP="005B4950">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5369C4B5" w14:textId="77777777" w:rsidR="005B4950" w:rsidRPr="00F04CC5" w:rsidRDefault="005B4950" w:rsidP="005B4950">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BAC48B8" w14:textId="77777777" w:rsidR="005B4950" w:rsidRDefault="005B4950" w:rsidP="005B4950">
      <w:pPr>
        <w:pStyle w:val="111"/>
      </w:pPr>
      <w:r w:rsidRPr="00AA7B7D">
        <w:t>kui tekib vajadus hankelepingu eset olulisel määral muuta;</w:t>
      </w:r>
    </w:p>
    <w:p w14:paraId="3B6E8313" w14:textId="77777777" w:rsidR="005B4950" w:rsidRPr="00F04CC5" w:rsidRDefault="005B4950" w:rsidP="005B4950">
      <w:pPr>
        <w:pStyle w:val="111"/>
      </w:pPr>
      <w:r w:rsidRPr="00F04CC5">
        <w:rPr>
          <w:rFonts w:cs="Times New Roman"/>
          <w:szCs w:val="24"/>
        </w:rPr>
        <w:lastRenderedPageBreak/>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19A74DA4" w14:textId="77777777" w:rsidR="005B4950" w:rsidRPr="00F04CC5" w:rsidRDefault="005B4950" w:rsidP="005B4950">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425A48F8" w14:textId="77777777" w:rsidR="005B4950" w:rsidRPr="00F04CC5" w:rsidRDefault="005B4950" w:rsidP="005B4950">
      <w:pPr>
        <w:pStyle w:val="111"/>
      </w:pPr>
      <w:r w:rsidRPr="00F04CC5">
        <w:rPr>
          <w:rFonts w:cs="Times New Roman"/>
          <w:szCs w:val="24"/>
        </w:rPr>
        <w:t>kui hankemenetluses on ilmnenud ebakõlad, mida ei ole võimalik kõrvaldada ega menetlust seetõttu õiguspäraselt lõpule viia.</w:t>
      </w:r>
    </w:p>
    <w:p w14:paraId="1CAE3B5F" w14:textId="77777777" w:rsidR="005B4950" w:rsidRPr="00AA7B7D" w:rsidRDefault="005B4950" w:rsidP="005B4950">
      <w:pPr>
        <w:tabs>
          <w:tab w:val="left" w:pos="709"/>
        </w:tabs>
        <w:ind w:left="1055"/>
        <w:jc w:val="both"/>
        <w:rPr>
          <w:rFonts w:ascii="Times New Roman" w:eastAsia="Times New Roman" w:hAnsi="Times New Roman" w:cs="Times New Roman"/>
          <w:kern w:val="0"/>
          <w:sz w:val="24"/>
          <w:szCs w:val="24"/>
          <w14:ligatures w14:val="none"/>
        </w:rPr>
      </w:pPr>
    </w:p>
    <w:p w14:paraId="632866DA" w14:textId="77777777" w:rsidR="005B4950" w:rsidRDefault="005B4950" w:rsidP="005B4950">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1FFEB401" w14:textId="77777777" w:rsidR="005B4950" w:rsidRPr="00F04CC5" w:rsidRDefault="005B4950" w:rsidP="005B4950">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094C590B" w14:textId="77777777" w:rsidR="005B4950" w:rsidRPr="00F04CC5" w:rsidRDefault="005B4950" w:rsidP="005B4950">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5100A3D5" w14:textId="77777777" w:rsidR="005B4950" w:rsidRPr="00F04CC5" w:rsidRDefault="005B4950" w:rsidP="005B4950">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2099FBFF" w14:textId="77777777" w:rsidR="005B4950" w:rsidRPr="00F04CC5" w:rsidRDefault="005B4950" w:rsidP="005B4950">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E652267" w14:textId="77777777" w:rsidR="005B4950" w:rsidRPr="00F04CC5" w:rsidRDefault="005B4950" w:rsidP="005B4950">
      <w:pPr>
        <w:pStyle w:val="11"/>
        <w:rPr>
          <w:b/>
          <w:bCs/>
          <w:kern w:val="32"/>
        </w:rPr>
      </w:pPr>
      <w:r w:rsidRPr="00F04CC5">
        <w:rPr>
          <w:rFonts w:cs="Times New Roman"/>
          <w:color w:val="000000"/>
          <w:spacing w:val="-1"/>
          <w:szCs w:val="24"/>
        </w:rPr>
        <w:t xml:space="preserve">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18E5AF2C" w14:textId="77777777" w:rsidR="005B4950" w:rsidRPr="00AA7B7D" w:rsidRDefault="005B4950" w:rsidP="005B4950">
      <w:pPr>
        <w:jc w:val="both"/>
        <w:rPr>
          <w:rFonts w:ascii="Times New Roman" w:eastAsia="Times New Roman" w:hAnsi="Times New Roman" w:cs="Times New Roman"/>
          <w:kern w:val="0"/>
          <w:sz w:val="24"/>
          <w:szCs w:val="24"/>
          <w14:ligatures w14:val="none"/>
        </w:rPr>
      </w:pPr>
    </w:p>
    <w:p w14:paraId="3E7DF816" w14:textId="77777777" w:rsidR="005B4950" w:rsidRDefault="005B4950" w:rsidP="005B4950">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1A33A50" w14:textId="77777777" w:rsidR="005B4950" w:rsidRPr="00F04CC5" w:rsidRDefault="005B4950" w:rsidP="005B4950">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6E00CC20" w14:textId="77777777" w:rsidR="005B4950" w:rsidRPr="00F04CC5" w:rsidRDefault="005B4950" w:rsidP="005B4950">
      <w:pPr>
        <w:pStyle w:val="11"/>
        <w:rPr>
          <w:b/>
          <w:bCs/>
          <w:kern w:val="32"/>
        </w:rPr>
      </w:pPr>
      <w:r w:rsidRPr="00F04CC5">
        <w:rPr>
          <w:rFonts w:eastAsia="Arial" w:cs="Times New Roman"/>
          <w:szCs w:val="24"/>
        </w:rPr>
        <w:t>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w:t>
      </w:r>
    </w:p>
    <w:p w14:paraId="2FA3E941" w14:textId="77777777" w:rsidR="005B4950" w:rsidRPr="00AA7B7D" w:rsidRDefault="005B4950" w:rsidP="005B4950">
      <w:pPr>
        <w:jc w:val="both"/>
        <w:rPr>
          <w:rFonts w:ascii="Times New Roman" w:eastAsia="Arial" w:hAnsi="Times New Roman" w:cs="Times New Roman"/>
          <w:kern w:val="0"/>
          <w:sz w:val="24"/>
          <w:szCs w:val="24"/>
          <w14:ligatures w14:val="none"/>
        </w:rPr>
      </w:pPr>
    </w:p>
    <w:p w14:paraId="3E382AC5" w14:textId="77777777" w:rsidR="005B4950" w:rsidRDefault="005B4950" w:rsidP="005B4950">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BCD9E56" w14:textId="77777777" w:rsidR="005B4950" w:rsidRDefault="005B4950" w:rsidP="005B4950">
      <w:pPr>
        <w:spacing w:after="120"/>
        <w:ind w:left="567"/>
        <w:jc w:val="both"/>
        <w:outlineLvl w:val="0"/>
        <w:rPr>
          <w:rFonts w:ascii="Times New Roman" w:eastAsia="Times New Roman" w:hAnsi="Times New Roman" w:cs="Times New Roman"/>
          <w:kern w:val="32"/>
          <w:sz w:val="24"/>
          <w:szCs w:val="24"/>
          <w14:ligatures w14:val="none"/>
        </w:rPr>
      </w:pPr>
      <w:r w:rsidRPr="00DD4C31">
        <w:rPr>
          <w:rFonts w:ascii="Times New Roman" w:eastAsia="Times New Roman" w:hAnsi="Times New Roman" w:cs="Times New Roman"/>
          <w:kern w:val="32"/>
          <w:sz w:val="24"/>
          <w:szCs w:val="24"/>
          <w14:ligatures w14:val="none"/>
        </w:rPr>
        <w:t>Lisa 1 Tehniline kirjeldus</w:t>
      </w:r>
    </w:p>
    <w:p w14:paraId="43F3699C" w14:textId="29D469DC" w:rsidR="00FE0C22" w:rsidRDefault="00FE0C22" w:rsidP="005B4950">
      <w:pPr>
        <w:spacing w:after="120"/>
        <w:ind w:left="567"/>
        <w:jc w:val="both"/>
        <w:outlineLvl w:val="0"/>
        <w:rPr>
          <w:rFonts w:ascii="Times New Roman" w:eastAsia="Times New Roman" w:hAnsi="Times New Roman" w:cs="Times New Roman"/>
          <w:kern w:val="32"/>
          <w:sz w:val="24"/>
          <w:szCs w:val="24"/>
          <w14:ligatures w14:val="none"/>
        </w:rPr>
      </w:pPr>
      <w:r w:rsidRPr="00FE0C22">
        <w:rPr>
          <w:rFonts w:ascii="Times New Roman" w:eastAsia="Times New Roman" w:hAnsi="Times New Roman" w:cs="Times New Roman"/>
          <w:kern w:val="32"/>
          <w:sz w:val="24"/>
          <w:szCs w:val="24"/>
          <w14:ligatures w14:val="none"/>
        </w:rPr>
        <w:t>Lisa</w:t>
      </w:r>
      <w:r>
        <w:rPr>
          <w:rFonts w:ascii="Times New Roman" w:eastAsia="Times New Roman" w:hAnsi="Times New Roman" w:cs="Times New Roman"/>
          <w:kern w:val="32"/>
          <w:sz w:val="24"/>
          <w:szCs w:val="24"/>
          <w14:ligatures w14:val="none"/>
        </w:rPr>
        <w:t xml:space="preserve"> 1-1</w:t>
      </w:r>
      <w:r w:rsidRPr="00FE0C22">
        <w:rPr>
          <w:rFonts w:ascii="Times New Roman" w:eastAsia="Times New Roman" w:hAnsi="Times New Roman" w:cs="Times New Roman"/>
          <w:kern w:val="32"/>
          <w:sz w:val="24"/>
          <w:szCs w:val="24"/>
          <w14:ligatures w14:val="none"/>
        </w:rPr>
        <w:t xml:space="preserve"> Ehitusprojekti „BOA OÜ poolt koostatud põhiprojekti ,,RMK USSIMÄE BÜROOHOONE JA GARAAŽI EHITUSPROJEKT“ Töö nr. 005-2024“ link projekti allalaadimiseks</w:t>
      </w:r>
      <w:r>
        <w:rPr>
          <w:rFonts w:ascii="Times New Roman" w:eastAsia="Times New Roman" w:hAnsi="Times New Roman" w:cs="Times New Roman"/>
          <w:kern w:val="32"/>
          <w:sz w:val="24"/>
          <w:szCs w:val="24"/>
          <w14:ligatures w14:val="none"/>
        </w:rPr>
        <w:t xml:space="preserve"> </w:t>
      </w:r>
    </w:p>
    <w:p w14:paraId="5D87FE3C" w14:textId="78788395" w:rsidR="00B26670" w:rsidRPr="00DD4C31" w:rsidRDefault="00B26670" w:rsidP="005B4950">
      <w:pPr>
        <w:spacing w:after="120"/>
        <w:ind w:left="567"/>
        <w:jc w:val="both"/>
        <w:outlineLvl w:val="0"/>
        <w:rPr>
          <w:rFonts w:ascii="Times New Roman" w:eastAsia="Times New Roman" w:hAnsi="Times New Roman" w:cs="Times New Roman"/>
          <w:kern w:val="32"/>
          <w:sz w:val="24"/>
          <w:szCs w:val="24"/>
          <w14:ligatures w14:val="none"/>
        </w:rPr>
      </w:pPr>
      <w:r w:rsidRPr="00B26670">
        <w:rPr>
          <w:rFonts w:ascii="Times New Roman" w:eastAsia="Times New Roman" w:hAnsi="Times New Roman" w:cs="Times New Roman"/>
          <w:kern w:val="32"/>
          <w:sz w:val="24"/>
          <w:szCs w:val="24"/>
          <w14:ligatures w14:val="none"/>
        </w:rPr>
        <w:lastRenderedPageBreak/>
        <w:t xml:space="preserve">Lisa </w:t>
      </w:r>
      <w:r>
        <w:rPr>
          <w:rFonts w:ascii="Times New Roman" w:eastAsia="Times New Roman" w:hAnsi="Times New Roman" w:cs="Times New Roman"/>
          <w:kern w:val="32"/>
          <w:sz w:val="24"/>
          <w:szCs w:val="24"/>
          <w14:ligatures w14:val="none"/>
        </w:rPr>
        <w:t>1-2</w:t>
      </w:r>
      <w:r w:rsidRPr="00B26670">
        <w:rPr>
          <w:rFonts w:ascii="Times New Roman" w:eastAsia="Times New Roman" w:hAnsi="Times New Roman" w:cs="Times New Roman"/>
          <w:kern w:val="32"/>
          <w:sz w:val="24"/>
          <w:szCs w:val="24"/>
          <w14:ligatures w14:val="none"/>
        </w:rPr>
        <w:t xml:space="preserve"> Pildid olemasolevast hoonest</w:t>
      </w:r>
    </w:p>
    <w:p w14:paraId="28D4391F" w14:textId="2C3D7910" w:rsidR="005B4950" w:rsidRDefault="005B4950" w:rsidP="005B4950">
      <w:pPr>
        <w:spacing w:after="120"/>
        <w:ind w:left="567"/>
        <w:jc w:val="both"/>
        <w:outlineLvl w:val="0"/>
        <w:rPr>
          <w:rFonts w:ascii="Times New Roman" w:eastAsia="Times New Roman" w:hAnsi="Times New Roman" w:cs="Times New Roman"/>
          <w:kern w:val="32"/>
          <w:sz w:val="24"/>
          <w:szCs w:val="24"/>
          <w14:ligatures w14:val="none"/>
        </w:rPr>
      </w:pPr>
      <w:r w:rsidRPr="00DD4C31">
        <w:rPr>
          <w:rFonts w:ascii="Times New Roman" w:eastAsia="Times New Roman" w:hAnsi="Times New Roman" w:cs="Times New Roman"/>
          <w:kern w:val="32"/>
          <w:sz w:val="24"/>
          <w:szCs w:val="24"/>
          <w14:ligatures w14:val="none"/>
        </w:rPr>
        <w:t xml:space="preserve">Lisa 2 </w:t>
      </w:r>
      <w:r w:rsidR="00EB7D8A">
        <w:rPr>
          <w:rFonts w:ascii="Times New Roman" w:eastAsia="Times New Roman" w:hAnsi="Times New Roman" w:cs="Times New Roman"/>
          <w:kern w:val="32"/>
          <w:sz w:val="24"/>
          <w:szCs w:val="24"/>
          <w14:ligatures w14:val="none"/>
        </w:rPr>
        <w:t>Maksumuse tabel</w:t>
      </w:r>
    </w:p>
    <w:p w14:paraId="63FB88B4" w14:textId="0127745B" w:rsidR="00952B6D" w:rsidRDefault="00952B6D" w:rsidP="005B4950">
      <w:pPr>
        <w:spacing w:after="120"/>
        <w:ind w:left="567"/>
        <w:jc w:val="both"/>
        <w:outlineLvl w:val="0"/>
        <w:rPr>
          <w:rFonts w:ascii="Times New Roman" w:eastAsia="Times New Roman" w:hAnsi="Times New Roman" w:cs="Times New Roman"/>
          <w:kern w:val="32"/>
          <w:sz w:val="24"/>
          <w:szCs w:val="24"/>
          <w14:ligatures w14:val="none"/>
        </w:rPr>
      </w:pPr>
      <w:r>
        <w:rPr>
          <w:rFonts w:ascii="Times New Roman" w:eastAsia="Times New Roman" w:hAnsi="Times New Roman" w:cs="Times New Roman"/>
          <w:kern w:val="32"/>
          <w:sz w:val="24"/>
          <w:szCs w:val="24"/>
          <w14:ligatures w14:val="none"/>
        </w:rPr>
        <w:t xml:space="preserve">Lisa </w:t>
      </w:r>
      <w:r w:rsidR="00B26670">
        <w:rPr>
          <w:rFonts w:ascii="Times New Roman" w:eastAsia="Times New Roman" w:hAnsi="Times New Roman" w:cs="Times New Roman"/>
          <w:kern w:val="32"/>
          <w:sz w:val="24"/>
          <w:szCs w:val="24"/>
          <w14:ligatures w14:val="none"/>
        </w:rPr>
        <w:t>3</w:t>
      </w:r>
      <w:r>
        <w:rPr>
          <w:rFonts w:ascii="Times New Roman" w:eastAsia="Times New Roman" w:hAnsi="Times New Roman" w:cs="Times New Roman"/>
          <w:kern w:val="32"/>
          <w:sz w:val="24"/>
          <w:szCs w:val="24"/>
          <w14:ligatures w14:val="none"/>
        </w:rPr>
        <w:t xml:space="preserve"> – Lepingu projekt</w:t>
      </w:r>
    </w:p>
    <w:bookmarkEnd w:id="11"/>
    <w:bookmarkEnd w:id="12"/>
    <w:bookmarkEnd w:id="13"/>
    <w:bookmarkEnd w:id="14"/>
    <w:p w14:paraId="1D355D9F"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B36814"/>
    <w:multiLevelType w:val="multilevel"/>
    <w:tmpl w:val="5D7CC08E"/>
    <w:lvl w:ilvl="0">
      <w:start w:val="1"/>
      <w:numFmt w:val="decimal"/>
      <w:lvlText w:val="%1."/>
      <w:lvlJc w:val="left"/>
      <w:pPr>
        <w:ind w:left="360" w:hanging="360"/>
      </w:pPr>
    </w:lvl>
    <w:lvl w:ilvl="1">
      <w:start w:val="1"/>
      <w:numFmt w:val="decimal"/>
      <w:lvlText w:val="%1.%2."/>
      <w:lvlJc w:val="left"/>
      <w:pPr>
        <w:ind w:left="720" w:hanging="720"/>
      </w:pPr>
      <w:rPr>
        <w:b w:val="0"/>
        <w:b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1"/>
  </w:num>
  <w:num w:numId="2" w16cid:durableId="10348844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950"/>
    <w:rsid w:val="00004C68"/>
    <w:rsid w:val="000251FB"/>
    <w:rsid w:val="000273DF"/>
    <w:rsid w:val="00103B4E"/>
    <w:rsid w:val="00162B60"/>
    <w:rsid w:val="00253145"/>
    <w:rsid w:val="00291387"/>
    <w:rsid w:val="00323114"/>
    <w:rsid w:val="00385E1F"/>
    <w:rsid w:val="003A103C"/>
    <w:rsid w:val="003F2A84"/>
    <w:rsid w:val="00477121"/>
    <w:rsid w:val="00482EA3"/>
    <w:rsid w:val="00526D93"/>
    <w:rsid w:val="005B4950"/>
    <w:rsid w:val="005D5CF5"/>
    <w:rsid w:val="00697D90"/>
    <w:rsid w:val="006E7851"/>
    <w:rsid w:val="0073008F"/>
    <w:rsid w:val="00757EAB"/>
    <w:rsid w:val="00760B20"/>
    <w:rsid w:val="007C558D"/>
    <w:rsid w:val="00833543"/>
    <w:rsid w:val="00952B6D"/>
    <w:rsid w:val="00A7658E"/>
    <w:rsid w:val="00B26670"/>
    <w:rsid w:val="00B33789"/>
    <w:rsid w:val="00BF42CB"/>
    <w:rsid w:val="00C01F8D"/>
    <w:rsid w:val="00CF65CB"/>
    <w:rsid w:val="00D55863"/>
    <w:rsid w:val="00DB1522"/>
    <w:rsid w:val="00DD4C31"/>
    <w:rsid w:val="00E73659"/>
    <w:rsid w:val="00EB7D8A"/>
    <w:rsid w:val="00ED4C0E"/>
    <w:rsid w:val="00ED60E9"/>
    <w:rsid w:val="00FE0C22"/>
    <w:rsid w:val="00FE302D"/>
    <w:rsid w:val="00FF586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095C5"/>
  <w15:chartTrackingRefBased/>
  <w15:docId w15:val="{199D700B-B6EF-46C6-8C1C-34148E422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B4950"/>
    <w:pPr>
      <w:spacing w:after="0" w:line="240" w:lineRule="auto"/>
      <w:jc w:val="right"/>
    </w:pPr>
  </w:style>
  <w:style w:type="paragraph" w:styleId="Pealkiri1">
    <w:name w:val="heading 1"/>
    <w:basedOn w:val="Normaallaad"/>
    <w:next w:val="Normaallaad"/>
    <w:link w:val="Pealkiri1Mrk"/>
    <w:uiPriority w:val="9"/>
    <w:qFormat/>
    <w:rsid w:val="005B4950"/>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5B4950"/>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5B4950"/>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5B4950"/>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5B4950"/>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5B4950"/>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B4950"/>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B4950"/>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B4950"/>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B4950"/>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5B4950"/>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5B4950"/>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5B4950"/>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5B4950"/>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5B4950"/>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B4950"/>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B4950"/>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B4950"/>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B4950"/>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B4950"/>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B4950"/>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B4950"/>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B4950"/>
    <w:pPr>
      <w:spacing w:before="160"/>
      <w:jc w:val="center"/>
    </w:pPr>
    <w:rPr>
      <w:i/>
      <w:iCs/>
      <w:color w:val="404040" w:themeColor="text1" w:themeTint="BF"/>
    </w:rPr>
  </w:style>
  <w:style w:type="character" w:customStyle="1" w:styleId="TsitaatMrk">
    <w:name w:val="Tsitaat Märk"/>
    <w:basedOn w:val="Liguvaikefont"/>
    <w:link w:val="Tsitaat"/>
    <w:uiPriority w:val="29"/>
    <w:rsid w:val="005B4950"/>
    <w:rPr>
      <w:i/>
      <w:iCs/>
      <w:color w:val="404040" w:themeColor="text1" w:themeTint="BF"/>
    </w:rPr>
  </w:style>
  <w:style w:type="paragraph" w:styleId="Loendilik">
    <w:name w:val="List Paragraph"/>
    <w:basedOn w:val="Normaallaad"/>
    <w:uiPriority w:val="34"/>
    <w:qFormat/>
    <w:rsid w:val="005B4950"/>
    <w:pPr>
      <w:ind w:left="720"/>
      <w:contextualSpacing/>
    </w:pPr>
  </w:style>
  <w:style w:type="character" w:styleId="Selgeltmrgatavrhutus">
    <w:name w:val="Intense Emphasis"/>
    <w:basedOn w:val="Liguvaikefont"/>
    <w:uiPriority w:val="21"/>
    <w:qFormat/>
    <w:rsid w:val="005B4950"/>
    <w:rPr>
      <w:i/>
      <w:iCs/>
      <w:color w:val="2E74B5" w:themeColor="accent1" w:themeShade="BF"/>
    </w:rPr>
  </w:style>
  <w:style w:type="paragraph" w:styleId="Selgeltmrgatavtsitaat">
    <w:name w:val="Intense Quote"/>
    <w:basedOn w:val="Normaallaad"/>
    <w:next w:val="Normaallaad"/>
    <w:link w:val="SelgeltmrgatavtsitaatMrk"/>
    <w:uiPriority w:val="30"/>
    <w:qFormat/>
    <w:rsid w:val="005B4950"/>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5B4950"/>
    <w:rPr>
      <w:i/>
      <w:iCs/>
      <w:color w:val="2E74B5" w:themeColor="accent1" w:themeShade="BF"/>
    </w:rPr>
  </w:style>
  <w:style w:type="character" w:styleId="Selgeltmrgatavviide">
    <w:name w:val="Intense Reference"/>
    <w:basedOn w:val="Liguvaikefont"/>
    <w:uiPriority w:val="32"/>
    <w:qFormat/>
    <w:rsid w:val="005B4950"/>
    <w:rPr>
      <w:b/>
      <w:bCs/>
      <w:smallCaps/>
      <w:color w:val="2E74B5" w:themeColor="accent1" w:themeShade="BF"/>
      <w:spacing w:val="5"/>
    </w:rPr>
  </w:style>
  <w:style w:type="paragraph" w:customStyle="1" w:styleId="111">
    <w:name w:val="1.1.1"/>
    <w:basedOn w:val="Normaallaad"/>
    <w:qFormat/>
    <w:rsid w:val="005B4950"/>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5B4950"/>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526D93"/>
    <w:rPr>
      <w:color w:val="0563C1" w:themeColor="hyperlink"/>
      <w:u w:val="single"/>
    </w:rPr>
  </w:style>
  <w:style w:type="character" w:styleId="Lahendamatamainimine">
    <w:name w:val="Unresolved Mention"/>
    <w:basedOn w:val="Liguvaikefont"/>
    <w:uiPriority w:val="99"/>
    <w:semiHidden/>
    <w:unhideWhenUsed/>
    <w:rsid w:val="00526D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6179162">
      <w:bodyDiv w:val="1"/>
      <w:marLeft w:val="0"/>
      <w:marRight w:val="0"/>
      <w:marTop w:val="0"/>
      <w:marBottom w:val="0"/>
      <w:divBdr>
        <w:top w:val="none" w:sz="0" w:space="0" w:color="auto"/>
        <w:left w:val="none" w:sz="0" w:space="0" w:color="auto"/>
        <w:bottom w:val="none" w:sz="0" w:space="0" w:color="auto"/>
        <w:right w:val="none" w:sz="0" w:space="0" w:color="auto"/>
      </w:divBdr>
    </w:div>
    <w:div w:id="2105569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66</TotalTime>
  <Pages>6</Pages>
  <Words>2457</Words>
  <Characters>14251</Characters>
  <Application>Microsoft Office Word</Application>
  <DocSecurity>0</DocSecurity>
  <Lines>118</Lines>
  <Paragraphs>33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24</cp:revision>
  <dcterms:created xsi:type="dcterms:W3CDTF">2025-07-09T08:29:00Z</dcterms:created>
  <dcterms:modified xsi:type="dcterms:W3CDTF">2025-08-04T13:09:00Z</dcterms:modified>
</cp:coreProperties>
</file>